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23" w:rsidRPr="00994A23" w:rsidRDefault="00994A23" w:rsidP="00994A2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994A23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994A23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АДМИНИСТРАЦИЯ ГОРОДА ТЮМЕНИ</w:t>
      </w:r>
      <w:r w:rsidRPr="00994A23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ПОСТАНОВЛЕНИЕ</w:t>
      </w:r>
      <w:r w:rsidRPr="00994A23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от 24 октября 2011 года N 108-пк</w:t>
      </w:r>
      <w:proofErr w:type="gramStart"/>
      <w:r w:rsidRPr="00994A23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br/>
        <w:t>О</w:t>
      </w:r>
      <w:proofErr w:type="gramEnd"/>
      <w:r w:rsidRPr="00994A23"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  <w:t>б утверждении Порядка установки и содержания информационных указателей, указателей с наименованиями улиц и номерами домов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(с изменениями на 2 июля 2018 года)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(в ред. постановлений Администрации города Тюмени </w:t>
      </w:r>
      <w:hyperlink r:id="rId5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от 28.12.2011 N 152-пк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hyperlink r:id="rId6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от 21.07.2014 N 132-пк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hyperlink r:id="rId7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от 26.01.2015 N 9-пк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hyperlink r:id="rId8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от 21.12.2015 N 303-пк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hyperlink r:id="rId9" w:history="1">
        <w:proofErr w:type="gramStart"/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от</w:t>
        </w:r>
        <w:proofErr w:type="gramEnd"/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 xml:space="preserve"> 08.06.2016 N 172-пк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hyperlink r:id="rId10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от 02.07.2018 N 339-пк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     В соответствии с </w:t>
      </w:r>
      <w:hyperlink r:id="rId11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руководствуясь статьями 7, 45, 58 </w:t>
      </w:r>
      <w:hyperlink r:id="rId12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Устава города Тюмени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Администрация города Тюмени постановила: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 Утвердить Порядок установки и содержания информационных указателей, указателей с наименованиями улиц и номерами домов согласно приложению 1 к настоящему постановлению.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 1 в ред. постановления Администрации города Тюмени </w:t>
      </w:r>
      <w:hyperlink r:id="rId13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от 08.06.2016 N 172-пк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2 - 3. Исключены. - Постановление Администрации города Тюмени </w:t>
      </w:r>
      <w:hyperlink r:id="rId14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от 28.12.2011 N 152-пк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4. Информационно-аналитическому управлению административного департамента Администрации города Тюмени опубликовать настоящее постановление в средствах массовой информации и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разместить его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на официальном сайте Администрации города Тюмени.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5. Признать утратившими силу: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постановление Администрации города Тюмени от 15.12.2006 N 29-пк "Об утверждении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Порядка установки указателей наименований элементов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улично-дорожной сети, остановочных пунктов общественного городского транспорта и других частей города Тюмени";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постановление Администрации города Тюмени от 15.11.2007 N 36-пк "О внесении изменений в постановление Администрации города Тюмени от 15.12.2006 N 29-пк";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постановление Администрации города Тюмени от 03.07.2008 N 81-пк "О внесении изменений в постановление Администрации города Тюмени от 15.12.2006 N 29-пк";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постановление Администрации города Тюмени от 15.08.2008 N 109-пк "О внесении изменений в постановление Администрации города Тюмени от 15.12.2006 N 29-пк".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6. Исключен. - Постановление Администрации города Тюмени </w:t>
      </w:r>
      <w:hyperlink r:id="rId15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от 02.07.2018 N 339-пк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Глава Администрации города</w:t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А.В.МООР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994A23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Приложение 1. Порядок установки и содержания информационных указателей, указателей с наименованиями улиц и номерами домов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 1</w:t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постановлению</w:t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от 24.10.2011 N 108-пк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(в ред. постановления Администрации города Тюмени </w:t>
      </w:r>
      <w:hyperlink r:id="rId16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от 08.06.2016 N 172-пк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994A23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1. Общие положения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1.1.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Порядок установки и содержания информационных указателей, указателей с наименованиями улиц и номерами домов (далее - Порядок) разработан в соответствии с </w:t>
      </w:r>
      <w:hyperlink r:id="rId17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hyperlink r:id="rId18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Постановлением Правительства РФ от 19.11.2014 N 1221 "Об утверждении Правил присвоения, изменения и аннулирования адресов"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hyperlink r:id="rId19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Уставом города Тюмени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решением Тюменской городской </w:t>
      </w:r>
      <w:hyperlink r:id="rId20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Думы от 26.06.2008 N 81</w:t>
        </w:r>
        <w:proofErr w:type="gramEnd"/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 xml:space="preserve"> "О Правилах благоустройства территории города Тюмени"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и устанавливает требования к информационным указателям, указателям с наименованиями улиц и номерами домов, их размещению и содержанию.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1.2. Для целей настоящего Порядка используются следующие понятия: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а) информационный указатель - указатель с наименованием сквера, сада, парка, площади, бульвара, аллеи, набережной, указатель территориального деления города Тюмени;</w:t>
      </w:r>
      <w:proofErr w:type="gramEnd"/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б) адресный указатель - указатель, содержащий наименование улицы и (или) номер дома в соответствии с адресом, присвоенным дому, который может быть выполнен в виде: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указателя "Совмещенный" - указателя наименования улицы и номера дома, выполненного в единой конструкции;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указателя "Эконом" - указателя номера дома;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указателя "Гостевой" - указателя наименования улицы и указателя номера дома, выполненных в виде двух отдельных конструкций;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в) улица - улица, переулок, проезд, тупик,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г) дом - здание, сооружение, объект незавершенного строительства, пристроенное помещение, временная постройка, которым в установленном порядке присвоен адрес.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Тюменской области и муниципальных правовых актах города Тюмени.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994A23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2. Установка информационных и адресных указателей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2.1. Установка информационных и адресных указателей осуществляется в соответствии с Требованиями к внешнему виду и установке информационных и адресных указателей согласно приложению к настоящему Порядку.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2.2. Установку информационных указателей обеспечивают муниципальные казенные учреждения, подведомственные территориальным органам Администрации города Тюмени (далее - уполномоченные организации) в пределах средств бюджета города Тюмени на соответствующий финансовый год и плановый период.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2.3. Установку адресных указателей обеспечивают: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лица, обязанные в силу требований действующего законодательства, муниципальных правовых актов города Тюмени, договора содержать дома;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застройщик дома.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2.4. Установка информационных указателей осуществляется не позднее 90 календарных дней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 даты присвоения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наименований элементам планировочной структуры, элементам улично-дорожной сети, с даты установления границ территорий административных округов.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Установка адресных указателей осуществляется не позднее 30 календарных дней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 даты присвоения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адреса дому.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Установка адресных указателей осуществляется застройщиком дома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до обращения с заявлением о выдаче разрешения на ввод объекта в эксплуатацию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 соответствии с </w:t>
      </w:r>
      <w:hyperlink r:id="rId21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Градостроительным кодексом Российской Федерации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2.5. Запрещается установка адресных указателей, не соответствующих Требованиям к внешнему виду и установке информационных и адресных указателей.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994A23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3. Содержание информационных и адресных указателей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3.1. Содержание информационных указателей обеспечивают уполномоченные организации в пределах средств бюджета города Тюмени на соответствующий финансовый год и плановый период.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3.2. Содержание адресных указателей обеспечивают: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лица, обязанные в силу требований действующего законодательства, муниципальных правовых актов города Тюмени, договора содержать дома;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застройщик дома.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3.3. Содержание информационных и адресных указателей включает в себя осуществление следующих мероприятий: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обеспечение наличия информационных и адресных указателей в местах их установки;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содержание в технически исправном состоянии;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обеспечение работоспособности осветительных приборов в темное время суток;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установка и замена осветительных приборов;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периодическая очистка информационных и адресных указателей;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замена непригодных и не подлежащих восстановлению информационных и адресных указателей.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3.4. Периодичность осуществления мероприятий по содержанию информационных и адресных указателей должна обеспечивать постоянное наличие чистых, исправных и не имеющих повреждений указателей в местах их установки.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3.5. При ремонте фасадов домов адресные указатели должны быть восстановлены к моменту окончания ремонта в соответствии с гражданским законодательством.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994A23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4. Замена информационных и адресных указателей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4.1. Замена информационных и адресных указателей осуществляется: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рамках содержания информационных указателей;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случаях, предусмотренных пунктами 4.2 - 4.5 настоящего Порядка.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4.2. В случае изменения наименований элементов планировочной структуры, наименований элементов улично-дорожной сети замену информационных указателей обеспечивают уполномоченные организации в пределах средств бюджета города Тюмени на соответствующий финансовый год и плановый период.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4.3.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случае изменения адреса дома, замену адресных указателей обеспечивают лица, обязанные в силу требований действующего законодательства, муниципальных правовых актов города Тюмени, договора содержать дома, на которых размещены данные указатели, за исключением случая, предусмотренного пунктом 4.4 настоящего Порядка.</w:t>
      </w:r>
      <w:proofErr w:type="gramEnd"/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4.4. В случае изменения адреса дома в результате изменения наименования улицы, замену адресных указателей обеспечивают уполномоченные организации в пределах средств бюджета города Тюмени на соответствующий финансовый год и плановый период.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4.5. В случае изменения требований к внешнему виду адресных указателей замену адресных указателей обеспечивают уполномоченные организации в пределах средств бюджета города Тюмени на соответствующий финансовый год и плановый период.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4.6. Замена информационных указателей в случае, предусмотренном пунктом 4.2 Порядка, осуществляется не позднее 90 календарных дней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 даты изменения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наименования элемента планировочной структуры, наименования элемента улично-дорожной сети.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Замена адресных указателей в случае, предусмотренном пунктом 4.3 Порядка, осуществляется не позднее 90 календарных дней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 даты изменения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адреса дома.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Замена адресных указателей в случае, предусмотренном пунктом 4.4 Порядка, осуществляется не позднее 90 календарных дней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 даты изменения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наименования улицы.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Замена адресных указателей в случае, предусмотренном пунктом 4.5 Порядка, осуществляется не позднее 90 календарных дней с даты вступления в силу муниципального правового акта, изменяющего требования к внешнему виду адресных указателей.</w:t>
      </w:r>
      <w:proofErr w:type="gramEnd"/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994A23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5. Ответственность и контроль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5.1. Лица, виновные в нарушении требований, установленных настоящим Порядком, несут ответственность в соответствии с действующим законодательством Российской Федерации.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5.2 Ответственность за наличие, размещение в соответствии с настоящим Порядком, содержание информационных и адресных указателей несут лица, указанные в пунктах 3.1, 3.2 настоящего Порядка.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 xml:space="preserve">5.3.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Контроль за соблюдением физическими и юридическими лицами требований настоящего Порядка, установленных в отношении адресных указателей (далее соответственно - контроль, Требования), осуществляют уполномоченные организации при проведении плановых осмотров территории имущественных комплексов, а также по обращениям физических или юридических лиц о выявленных нарушениях Требований, в том числе, поступившим посредством муниципальной информационной системы "Портал управления городом "Тюмень - наш дом".</w:t>
      </w:r>
      <w:proofErr w:type="gramEnd"/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5.4. При выявлении нарушений Требований либо при поступлении обращений физических или юридических лиц о выявленных нарушениях Требований должностные лица уполномоченных организаций принимают меры по привлечению виновных лиц к административной ответственности в порядке, установленном действующим законодательством.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  <w:lang w:eastAsia="ru-RU"/>
        </w:rPr>
      </w:pPr>
      <w:r w:rsidRPr="00994A23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Приложение. Требования к внешнему виду и установке информационных и адресных указателей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</w:t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Порядку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94A23">
        <w:rPr>
          <w:rFonts w:ascii="Times New Roman" w:eastAsia="Times New Roman" w:hAnsi="Times New Roman" w:cs="Times New Roman"/>
          <w:sz w:val="31"/>
          <w:szCs w:val="31"/>
          <w:lang w:eastAsia="ru-RU"/>
        </w:rPr>
        <w:t>1. Требования к внешнему виду и размещению информационных указателей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1.1. Информационные указатели представляют собой устройство в виде панели, изготовленное с применением материалов или защитного покрытия, а также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световозвращающей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пленки с интенсивностью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световозвращения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, соответствующей пленке типа А либо выше, в соответствии с требованиями ГОСТ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52290-2004. Национальный стандарт Российской Федерации. Технические средства организации дорожного движения. Знаки дорожные. Общие технические требования (далее - ГОСТ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52290-2004), установленными в отношении дорожных знаков.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Перечень образцов используемых информационных указателей приведен в приложении 1 к настоящим Требованиям.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1.2. Информационные указатели имеют прямоугольную форму. Размеры таких указателей, а также шрифт надписей и высота букв, выполняемых на них, определяются в соответствии с требованиями ГОСТ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52290-2004, установленными в отношении дорожного знака 6.11, размещаемого в населенных пунктах на дорогах и улицах местного значения.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1.3. Надписи на информационных указателях выполняются белым цветом на синем фоне.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1.4. Написание наименований на информационных указателях производится в соответствии с наименованиями, присвоенными в порядке, предусмотренном муниципальным правовым актом города Тюмени.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1.5. Написание наименований элементов планировочной структуры, элементов улично-дорожной сети на информационных указателях должно выполняться прописными буквами без сокращения, а слов, характеризующих элементы планировочной структуры, элементы улично-дорожной сети - строчными буквами без сокращения (например: сквер ТЕНИСТЫЙ).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1.6. На информационных указателях допускается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двухстрочное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написание соответственно наименований элементов планировочной структуры, элементов улично-дорожной сети.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1.7.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Информационные указатели устанавливаются горизонтально на двух отдельно стоящих опорах (стойках) на входе (въезде) на территорию сквера, сада, парка, площади, бульвара, аллеи, набережной и в ее пределах.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Место установки информационного указателя должно обеспечивать его обзор при входе (въезде) на территорию.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1.8. Опоры (стойки) информационных указателей представляют собой оцинкованные трубы диаметром 57 мм либо 76 мм, произведенные в соответствии с ГОСТ 10705-80 "Трубы стальные электросварные. Технические условия" и оцинкованные методом горячего оцинкования.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Высота опор (стоек) информационных указателей от уровня земли составляет 2,50 - 2,80 м, расстояние от уровня земли до нижнего края панели информационного указателя составляет 2,10 - 2,40 м.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1.9. На опорах (стойках) информационных указателей с наименованиями скверов, садов, парков, площадей, бульваров, аллей, которые названы в честь выдающихся государственных и общественных деятелей и других имеющих заслуги перед государством лиц, размещаются прямоугольные панели с краткой информацией о биографии.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Надписи на панелях с краткой информацией о биографии выполняются черным цветом на белом фоне, высота строчных букв не менее 20 мм, прописных букв не менее 30 мм.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Расстояние от уровня земли до нижнего края панели с краткой информацией о биографии составляет не менее 1,40 м.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1.10. Требования пунктов 1.1 - 1.9 настоящей главы не распространяются в отношении указателей территориального деления города Тюмени.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Требования к внешнему виду и размещению указателей территориального деления города Тюмени устанавливаются приказом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руководителя территориального органа Администрации города Тюмени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по соответствующему административному округу.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94A23">
        <w:rPr>
          <w:rFonts w:ascii="Times New Roman" w:eastAsia="Times New Roman" w:hAnsi="Times New Roman" w:cs="Times New Roman"/>
          <w:sz w:val="31"/>
          <w:szCs w:val="31"/>
          <w:lang w:eastAsia="ru-RU"/>
        </w:rPr>
        <w:t>2. Требования к внешнему виду и размещению адресных указателей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2.1. Адресный указатель "Совмещенный" устанавливается на домах, за исключением случаев, предусмотренных пунктами 2.2 и 2.3 настоящих Требований.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2.2. Адресный указатель "Эконом" устанавливается на индивидуальных жилых домах, за исключением домов под номером один и номером два и домов, расположенных на перекрестках.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2.3. Адресный указатель "Гостевой" устанавливается на домах, расположенных вдоль улиц, перечень которых определен приложением 2 к настоящим Требованиям.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2.4. Перечень образцов используемых адресных указателей приведен в приложении 3 к настоящим Требованиям.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2.5. Адресный указатель "Совмещенный" представляет собой конструкцию в виде панели, имеющей прямоугольную форму с закруглением в средней верхней части радиусом 150 мм для размещения номера дома: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а) размером 800 мм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x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200 мм, а в районах малоэтажной застройки размером 600 мм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x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160 мм, если надпись, обозначающая наименование улицы и номер дома, содержит до 7 элементов в строке;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б) размером 1000 мм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x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200 мм, а в районах малоэтажной застройки - 800 мм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x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160 мм, если надпись, обозначающая наименование улицы и номер дома, содержит более 7 элементов в строке.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Адресный указатель "Совмещенный" изготавливается в соответствии с пунктом 1.1 настоящих Требований.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адресном указателе "Совмещенный" должна быть выполнена кайма белого цвета шириной 10 мм, внутренний радиус закругления каймы - 10 мм.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2.6. Адресный указатель "Эконом" представляет собой конструкцию в виде панели, имеющей прямоугольную форму размером 160 мм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x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160 мм.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Адресный указатель "Эконом" изготавливается в соответствии с пунктом 1.1 настоящих Требований.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На адресном указателе "Эконом" должна быть выполнена кайма белого цвета шириной 10 мм, внутренний радиус закругления каймы - 10 мм.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2.7. Адресный указатель "Гостевой" представляет собой конструкцию с внутренним подсветом, размерами 1300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x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325 мм для указателя наименования улицы, 325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x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325 мм для указателя номера дома, изготовленную </w:t>
      </w: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из</w:t>
      </w:r>
      <w:proofErr w:type="gram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металлической задней стенки с размещенным на ней электрооборудованием;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формованной крышки, выполненной из листового полиэтилентерефталата, на синем фоне (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Ral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: 5005) буквы белого цвета (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Ral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: 9010).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t>Для внутренней подсветки адресного указателя "Гостевой" применяются светодиоды. Подсвет должен обеспечивать равномерную освещенность информационного поля адресного указателя, читаемость информации.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2.8. Написание наименований улиц, номеров домов на адресных указателях производится в соответствии со сведениями об адресах, содержащихся в государственном адресном реестре.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2.9. Написание наименований улиц на адресных указателях "Совмещенный" должно выполняться прописными буквами без сокращения, а слов, характеризующих соответствующие элементы улично-дорожной сети, - строчными с сокращением (например: ул. РЕСПУБЛИКИ).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На адресных указателях "Совмещенный" не допускается перенос слов и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двухстрочное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исполнение при написании наименований улиц и номеров домов.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2.10. Написание наименований улиц на адресных указателях "Гостевой" должно выполняться прописными буквами без сокращения, и слов, характеризующих соответствующие элементы улично-дорожной сети, - строчными без сокращения (например: улица РЕСПУБЛИКИ). Номер строения (корпуса) обозначается цифрой, при этом слова "строение", "корпус" пишутся полностью.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2.11. Адресные указатели "Совмещенный" размещаются: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а) по горизонтали - с левой стороны главного фасада дома на расстоянии не более 1 м от угла дома;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proofErr w:type="gram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б) по вертикали - на расстоянии от 2,5 до 3,5 м от уровня земли, на одноэтажных индивидуальных жилых домах допускается установка на расстоянии не менее 2,0 м от уровня земли или на заборах индивидуальных жилых домов слева от входа на высоте не менее 2,0 м от уровня земли;</w:t>
      </w:r>
      <w:proofErr w:type="gramEnd"/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в) при длине фасада дома более 100 м - на его противоположных сторонах;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г) при расположении дома на перекрестке - на угловом участке фасада со стороны улицы, являющейся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адресообразующим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элементом объекта адресации;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 при общей длине периметра дома более 100 м допускается размещение на нем более одного указателя;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е) на оградах и корпусах промышленных объектов - слева от главного входа, въезда.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2.12. Адресные указатели "Эконом" размещаются: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а) по горизонтали - с левой стороны фасада индивидуального жилого дома на расстоянии не более 1 м от угла дома;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б) по вертикали - на расстоянии от 2,5 до 3,5 м от уровня земли, на одноэтажных индивидуальных жилых домах допускается установка на расстоянии не менее 2,0 м от уровня земли или на заборах индивидуальных жилых домов слева от входа на высоте не менее 2,0 м от уровня земли.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2.13. Адресные указатели "Гостевой" размещаются: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а) расположенные по нечетной стороне улицы с левой стороны главного фасада дома, а по четной стороне - с правой стороны главного фасада дома (при ориентации со стороны тротуара);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б) на улицах с односторонним движением транспорта - на стороне главного фасада дома, ближней по направлению движения транспорта;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в) по горизонтали - на расстоянии не менее 325 мм от угла дома;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г) по вертикали - на расстоянии от 2,5 м до 5 м от уровня земли, как правило, между первым и вторым этажами дома;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д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 у арки - на расстоянии не менее 325 мм от арки с правой стороны или над проемом;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е) при длине фасада дома более 100 м - на его противоположных сторонах;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ж) при расположении дома на перекрестке - на угловом участке фасада со стороны улицы, являющейся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адресообразующим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элементом объекта адресации, при этом, на смежной стороне на угловом участке фасада размещается указатель улицы, выполненный в виде отдельной конструкции;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з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) при общей длине периметра дома более 100 м допускается размещение на нем более одного указателя;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и) на оградах и корпусах промышленных объектов - справа от главного входа, въезда;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к) на строящихся домах, которым присвоен адрес.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2.14. Рекомендуемые типовые схемы размещения адресных указателей приведены в приложении 4 к настоящим Требованиям.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94A23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Приложение 1. Перечень образцов информационных указателей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Приложение 1</w:t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Требованиям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1: Образец информационного указателя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8410575"/>
            <wp:effectExtent l="19050" t="0" r="0" b="0"/>
            <wp:docPr id="3" name="Рисунок 3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lastRenderedPageBreak/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2: Образец информационного указателя с краткой информацией о биографии</w:t>
      </w:r>
    </w:p>
    <w:p w:rsidR="00994A23" w:rsidRPr="00994A23" w:rsidRDefault="00994A23" w:rsidP="005C307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8867775"/>
            <wp:effectExtent l="19050" t="0" r="0" b="0"/>
            <wp:docPr id="4" name="Рисунок 4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5C30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3078" w:rsidRDefault="00994A23" w:rsidP="005C3078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94A23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Приложение 2. Перечень улиц, на домах вдоль которых устанавливается</w:t>
      </w:r>
    </w:p>
    <w:p w:rsidR="00994A23" w:rsidRPr="00994A23" w:rsidRDefault="00994A23" w:rsidP="005C3078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94A2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адресный указатель "Гостевой"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 2</w:t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Требованиям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1. улица Республики.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2. улица Профсоюзная.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3. улица Комсомольская.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4. улица Луначарского.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5. улица Ямская.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6. улица Ленина.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7. улица Герцена.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8. улица Первомайская.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9. улица Челюскинцев.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10. улица Водопроводная.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11. улица 8 марта.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12. улица Орджоникидзе.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13. улица Володарского.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14. улица Хохрякова.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15. улица Советская.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16. улица Кирова.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17. улица </w:t>
      </w:r>
      <w:proofErr w:type="spellStart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Семакова</w:t>
      </w:r>
      <w:proofErr w:type="spellEnd"/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18. улица Красина.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19. улица Малыгина.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5C3078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94A23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Приложение 3. Перечень образцов адресных указателей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 3</w:t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Требованиям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1: Адресный указатель "Совмещенный", надпись до 7 элементов в строке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lastRenderedPageBreak/>
        <w:drawing>
          <wp:inline distT="0" distB="0" distL="0" distR="0">
            <wp:extent cx="5505450" cy="1943100"/>
            <wp:effectExtent l="19050" t="0" r="0" b="0"/>
            <wp:docPr id="5" name="Рисунок 5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2: Адресный указатель "Совмещенный", надпись до 7 элементов в строке в районах малоэтажной застройки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2000250"/>
            <wp:effectExtent l="19050" t="0" r="0" b="0"/>
            <wp:docPr id="6" name="Рисунок 6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3: Адресный указатель "Совмещенный", надпись более 7 элементов в строке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1876425"/>
            <wp:effectExtent l="19050" t="0" r="0" b="0"/>
            <wp:docPr id="7" name="Рисунок 7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4: Адресный указатель "Совмещенный", надпись более 7 элементов в строке в районах малоэтажной застройки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lastRenderedPageBreak/>
        <w:drawing>
          <wp:inline distT="0" distB="0" distL="0" distR="0">
            <wp:extent cx="5505450" cy="1895475"/>
            <wp:effectExtent l="19050" t="0" r="0" b="0"/>
            <wp:docPr id="8" name="Рисунок 8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5: Адресный указатель "Эконом"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2428875"/>
            <wp:effectExtent l="19050" t="0" r="0" b="0"/>
            <wp:docPr id="9" name="Рисунок 9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6: Адресный указатель "Гостевой"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3200400"/>
            <wp:effectExtent l="19050" t="0" r="0" b="0"/>
            <wp:docPr id="10" name="Рисунок 10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5C3078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94A23">
        <w:rPr>
          <w:rFonts w:ascii="Times New Roman" w:eastAsia="Times New Roman" w:hAnsi="Times New Roman" w:cs="Times New Roman"/>
          <w:sz w:val="31"/>
          <w:szCs w:val="31"/>
          <w:lang w:eastAsia="ru-RU"/>
        </w:rPr>
        <w:t>Приложение 4. Типовые схемы размещения адресных указателей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  <w:t>Приложение 4</w:t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Требованиям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1: Размещение указателя "Совмещенный" на фасаде дома менее 100 м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7629525"/>
            <wp:effectExtent l="19050" t="0" r="0" b="0"/>
            <wp:docPr id="11" name="Рисунок 11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Рисунок 2: Размещение указателя "Совмещенный" на одноэтажных индивидуальных жилых домах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3857625"/>
            <wp:effectExtent l="19050" t="0" r="0" b="0"/>
            <wp:docPr id="12" name="Рисунок 12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3: Размещение указателя "Совмещенный" на фасаде дома более 100 м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4505325"/>
            <wp:effectExtent l="19050" t="0" r="0" b="0"/>
            <wp:docPr id="13" name="Рисунок 13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4: Размещение указателя "Совмещенный" при расположении дома на перекрестке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6419850"/>
            <wp:effectExtent l="19050" t="0" r="0" b="0"/>
            <wp:docPr id="14" name="Рисунок 14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5: Размещение указателя "Совмещенный" на оградах и корпусах промышленных объектов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2676525"/>
            <wp:effectExtent l="19050" t="0" r="0" b="0"/>
            <wp:docPr id="15" name="Рисунок 15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6: Размещение указателя "Эконом" на одноэтажных индивидуальных жилых домах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4019550"/>
            <wp:effectExtent l="19050" t="0" r="0" b="0"/>
            <wp:docPr id="16" name="Рисунок 16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7: Размещение указателя "Гостевой" при длине фасада менее 100 м по нечетной стороне улицы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33"/>
        <w:gridCol w:w="5233"/>
      </w:tblGrid>
      <w:tr w:rsidR="00994A23" w:rsidRPr="00994A23" w:rsidTr="00994A23">
        <w:trPr>
          <w:trHeight w:val="15"/>
        </w:trPr>
        <w:tc>
          <w:tcPr>
            <w:tcW w:w="4990" w:type="dxa"/>
            <w:hideMark/>
          </w:tcPr>
          <w:p w:rsidR="00994A23" w:rsidRPr="00994A23" w:rsidRDefault="00994A23" w:rsidP="0099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994A23" w:rsidRPr="00994A23" w:rsidRDefault="00994A23" w:rsidP="0099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94A23" w:rsidRPr="00994A23" w:rsidTr="00994A2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A23" w:rsidRPr="00994A23" w:rsidRDefault="00994A23" w:rsidP="00994A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4A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Вариант 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A23" w:rsidRPr="00994A23" w:rsidRDefault="00994A23" w:rsidP="00994A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4A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Вариант 2</w:t>
            </w:r>
          </w:p>
        </w:tc>
      </w:tr>
      <w:tr w:rsidR="00994A23" w:rsidRPr="00994A23" w:rsidTr="00994A2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A23" w:rsidRPr="00994A23" w:rsidRDefault="00994A23" w:rsidP="00994A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200400" cy="4648200"/>
                  <wp:effectExtent l="19050" t="0" r="0" b="0"/>
                  <wp:docPr id="17" name="Рисунок 17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64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A23" w:rsidRPr="00994A23" w:rsidRDefault="00994A23" w:rsidP="00994A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>
                  <wp:extent cx="3200400" cy="4781550"/>
                  <wp:effectExtent l="19050" t="0" r="0" b="0"/>
                  <wp:docPr id="18" name="Рисунок 18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78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8: Размещение указателя "Гостевой" при длине фасада менее 100 м по четной стороне улицы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33"/>
        <w:gridCol w:w="5233"/>
      </w:tblGrid>
      <w:tr w:rsidR="00994A23" w:rsidRPr="00994A23" w:rsidTr="00994A23">
        <w:trPr>
          <w:trHeight w:val="15"/>
        </w:trPr>
        <w:tc>
          <w:tcPr>
            <w:tcW w:w="4990" w:type="dxa"/>
            <w:hideMark/>
          </w:tcPr>
          <w:p w:rsidR="00994A23" w:rsidRPr="00994A23" w:rsidRDefault="00994A23" w:rsidP="0099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994A23" w:rsidRPr="00994A23" w:rsidRDefault="00994A23" w:rsidP="0099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94A23" w:rsidRPr="00994A23" w:rsidTr="00994A2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A23" w:rsidRPr="00994A23" w:rsidRDefault="00994A23" w:rsidP="00994A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4A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Вариант 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A23" w:rsidRPr="00994A23" w:rsidRDefault="00994A23" w:rsidP="00994A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94A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Вариант 2</w:t>
            </w:r>
          </w:p>
        </w:tc>
      </w:tr>
      <w:tr w:rsidR="00994A23" w:rsidRPr="00994A23" w:rsidTr="00994A2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A23" w:rsidRPr="00994A23" w:rsidRDefault="00994A23" w:rsidP="00994A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200400" cy="4819650"/>
                  <wp:effectExtent l="19050" t="0" r="0" b="0"/>
                  <wp:docPr id="19" name="Рисунок 19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81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94A23" w:rsidRPr="00994A23" w:rsidRDefault="00994A23" w:rsidP="00994A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>
                  <wp:extent cx="3200400" cy="5172075"/>
                  <wp:effectExtent l="19050" t="0" r="0" b="0"/>
                  <wp:docPr id="20" name="Рисунок 20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517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9: Размещение указателя "Гостевой" при длине фасада менее 100 м при расположении дома на улице с односторонним движением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7600950"/>
            <wp:effectExtent l="19050" t="0" r="0" b="0"/>
            <wp:docPr id="21" name="Рисунок 21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10: Размещение указателя "Гостевой" у арки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3657600"/>
            <wp:effectExtent l="19050" t="0" r="0" b="0"/>
            <wp:docPr id="22" name="Рисунок 22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3695700"/>
            <wp:effectExtent l="19050" t="0" r="0" b="0"/>
            <wp:docPr id="23" name="Рисунок 23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11: Размещение указателя "Гостевой" при длине фасада более 100 м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4533900"/>
            <wp:effectExtent l="19050" t="0" r="0" b="0"/>
            <wp:docPr id="24" name="Рисунок 24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4562475"/>
            <wp:effectExtent l="19050" t="0" r="0" b="0"/>
            <wp:docPr id="25" name="Рисунок 25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12: Размещение указателя "Гостевой" при расположении дома на перекрестке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6686550"/>
            <wp:effectExtent l="19050" t="0" r="0" b="0"/>
            <wp:docPr id="26" name="Рисунок 26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4A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13: Размещение указателя "Гостевой" на оградах и корпусах промышленных объектов</w:t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2781300"/>
            <wp:effectExtent l="19050" t="0" r="0" b="0"/>
            <wp:docPr id="27" name="Рисунок 27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P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A23" w:rsidRPr="00994A23" w:rsidRDefault="00994A23" w:rsidP="00994A23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994A23" w:rsidRPr="00994A23" w:rsidRDefault="00994A23" w:rsidP="00994A2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5505450" cy="2686050"/>
            <wp:effectExtent l="19050" t="0" r="0" b="0"/>
            <wp:docPr id="28" name="Рисунок 28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 утверждении Порядка установки и содержания информационных указателей, указателей с наименованиями улиц и номерами домов (с изменениями на 2 июля 2018 года)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23" w:rsidRDefault="00994A23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000000000000000000000000000000000000000"/>
      <w:r w:rsidRPr="00994A2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 </w:t>
      </w:r>
      <w:bookmarkEnd w:id="0"/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3078" w:rsidRDefault="005C3078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78" w:rsidRDefault="005C3078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78" w:rsidRDefault="005C3078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78" w:rsidRDefault="005C3078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78" w:rsidRDefault="005C3078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78" w:rsidRDefault="005C3078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78" w:rsidRDefault="005C3078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78" w:rsidRDefault="005C3078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78" w:rsidRDefault="005C3078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078" w:rsidRPr="00994A23" w:rsidRDefault="005C3078" w:rsidP="00994A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A23" w:rsidRPr="00994A23" w:rsidRDefault="00994A23" w:rsidP="00994A2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994A23">
        <w:rPr>
          <w:rFonts w:ascii="Arial" w:eastAsia="Times New Roman" w:hAnsi="Arial" w:cs="Arial"/>
          <w:color w:val="3C3C3C"/>
          <w:sz w:val="41"/>
          <w:szCs w:val="41"/>
          <w:lang w:eastAsia="ru-RU"/>
        </w:rPr>
        <w:lastRenderedPageBreak/>
        <w:t>Приложение 2. Регламент компенсации гражданам расходов, понесенных в связи с переименованием улиц в городе Тюмени. - Исключен</w:t>
      </w:r>
    </w:p>
    <w:p w:rsidR="005C3078" w:rsidRDefault="00994A23" w:rsidP="00994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5C3078" w:rsidRDefault="005C3078" w:rsidP="00994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5C3078" w:rsidRDefault="005C3078" w:rsidP="00994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5C3078" w:rsidRDefault="005C3078" w:rsidP="00994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994A23" w:rsidRPr="00994A23" w:rsidRDefault="00994A23" w:rsidP="00994A2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Приложение 2</w:t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к постановлению</w:t>
      </w: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от 24.10.2011 N 108-пк</w:t>
      </w:r>
    </w:p>
    <w:p w:rsidR="00994A23" w:rsidRPr="00994A23" w:rsidRDefault="00994A23" w:rsidP="00994A2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Исключен. - Постановление Администрации города Тюмени </w:t>
      </w:r>
      <w:hyperlink r:id="rId48" w:history="1">
        <w:r w:rsidRPr="00994A23">
          <w:rPr>
            <w:rFonts w:ascii="Times New Roman" w:eastAsia="Times New Roman" w:hAnsi="Times New Roman" w:cs="Times New Roman"/>
            <w:color w:val="00466E"/>
            <w:sz w:val="21"/>
            <w:u w:val="single"/>
            <w:lang w:eastAsia="ru-RU"/>
          </w:rPr>
          <w:t>от 28.12.2011 N 152-пк</w:t>
        </w:r>
      </w:hyperlink>
      <w:r w:rsidRPr="00994A23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0"/>
        <w:gridCol w:w="2226"/>
        <w:gridCol w:w="2288"/>
        <w:gridCol w:w="2181"/>
        <w:gridCol w:w="1821"/>
      </w:tblGrid>
      <w:tr w:rsidR="00994A23" w:rsidRPr="00994A23" w:rsidTr="00994A23">
        <w:tc>
          <w:tcPr>
            <w:tcW w:w="3390" w:type="dxa"/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:rsidR="00994A23" w:rsidRPr="00994A23" w:rsidRDefault="00994A23" w:rsidP="0099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466E"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71450"/>
                  <wp:effectExtent l="19050" t="0" r="9525" b="0"/>
                  <wp:docPr id="29" name="Рисунок 29" descr="http://docs.cntd.ru/general/images/pattern/bottom/logo-t.png">
                    <a:hlinkClick xmlns:a="http://schemas.openxmlformats.org/drawingml/2006/main" r:id="rId4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docs.cntd.ru/general/images/pattern/bottom/logo-t.png">
                            <a:hlinkClick r:id="rId4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A23" w:rsidRPr="00994A23" w:rsidRDefault="00994A23" w:rsidP="00994A23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" w:tooltip="Нормы, правила, стандарты и законодательство по техрегулированию" w:history="1"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Нормы, правила, стандарты и законодательство по </w:t>
              </w:r>
              <w:proofErr w:type="spellStart"/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техрегулированию</w:t>
              </w:r>
              <w:proofErr w:type="spellEnd"/>
            </w:hyperlink>
          </w:p>
          <w:p w:rsidR="00994A23" w:rsidRPr="00994A23" w:rsidRDefault="00994A23" w:rsidP="00994A23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2" w:tooltip="Типовая проектная документация" w:history="1"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Типовая проектная документация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" w:tooltip="Технологические описания оборудования и материалов" w:history="1"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Технологические описания оборудования и материалов</w:t>
              </w:r>
            </w:hyperlink>
          </w:p>
        </w:tc>
        <w:tc>
          <w:tcPr>
            <w:tcW w:w="3390" w:type="dxa"/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:rsidR="00994A23" w:rsidRPr="00994A23" w:rsidRDefault="00994A23" w:rsidP="00994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important_docs_dl" w:tooltip="Важные документы" w:history="1">
              <w:r w:rsidRPr="00994A23">
                <w:rPr>
                  <w:rFonts w:ascii="Times New Roman" w:eastAsia="Times New Roman" w:hAnsi="Times New Roman" w:cs="Times New Roman"/>
                  <w:b/>
                  <w:bCs/>
                  <w:color w:val="00466E"/>
                  <w:sz w:val="24"/>
                  <w:szCs w:val="24"/>
                  <w:u w:val="single"/>
                  <w:lang w:eastAsia="ru-RU"/>
                </w:rPr>
                <w:t>Важные документы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" w:tooltip="ТТК, ППР, КТП" w:history="1"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ТТК, ППР, КТП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6" w:tooltip="Классификаторы" w:history="1"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Классификаторы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" w:tooltip="Комментарии, статьи, консультации" w:history="1">
              <w:proofErr w:type="gramStart"/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Комментарии, статьи</w:t>
              </w:r>
              <w:proofErr w:type="gramEnd"/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, консультации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8" w:tooltip="Картотека международных стандартов: ASTM, API, ASME, ISO, DNV, DIN, IP" w:history="1"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Картотека международных стандартов: ASTM, API, ASME, ISO, DNV, DIN, IP</w:t>
              </w:r>
            </w:hyperlink>
          </w:p>
        </w:tc>
        <w:tc>
          <w:tcPr>
            <w:tcW w:w="3375" w:type="dxa"/>
            <w:tcBorders>
              <w:left w:val="single" w:sz="6" w:space="0" w:color="E0E0E0"/>
            </w:tcBorders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:rsidR="00994A23" w:rsidRPr="00994A23" w:rsidRDefault="00994A23" w:rsidP="00994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83C70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200025"/>
                  <wp:effectExtent l="0" t="0" r="0" b="0"/>
                  <wp:docPr id="30" name="Рисунок 30" descr="http://docs.cntd.ru/general/images/pattern/bottom/logo-k.png">
                    <a:hlinkClick xmlns:a="http://schemas.openxmlformats.org/drawingml/2006/main" r:id="rId5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docs.cntd.ru/general/images/pattern/bottom/logo-k.png">
                            <a:hlinkClick r:id="rId5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A23" w:rsidRPr="00994A23" w:rsidRDefault="00994A23" w:rsidP="00994A23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1" w:tooltip="Федеральное законодательство" w:history="1">
              <w:r w:rsidRPr="00994A23">
                <w:rPr>
                  <w:rFonts w:ascii="Times New Roman" w:eastAsia="Times New Roman" w:hAnsi="Times New Roman" w:cs="Times New Roman"/>
                  <w:color w:val="283C70"/>
                  <w:sz w:val="18"/>
                  <w:u w:val="single"/>
                  <w:lang w:eastAsia="ru-RU"/>
                </w:rPr>
                <w:t>Федеральное законодательство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2" w:tooltip="Региональное законодательство" w:history="1">
              <w:r w:rsidRPr="00994A23">
                <w:rPr>
                  <w:rFonts w:ascii="Times New Roman" w:eastAsia="Times New Roman" w:hAnsi="Times New Roman" w:cs="Times New Roman"/>
                  <w:color w:val="283C70"/>
                  <w:sz w:val="18"/>
                  <w:u w:val="single"/>
                  <w:lang w:eastAsia="ru-RU"/>
                </w:rPr>
                <w:t>Региональное законодательство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3" w:tooltip="Образцы документов" w:history="1">
              <w:r w:rsidRPr="00994A23">
                <w:rPr>
                  <w:rFonts w:ascii="Times New Roman" w:eastAsia="Times New Roman" w:hAnsi="Times New Roman" w:cs="Times New Roman"/>
                  <w:color w:val="283C70"/>
                  <w:sz w:val="18"/>
                  <w:u w:val="single"/>
                  <w:lang w:eastAsia="ru-RU"/>
                </w:rPr>
                <w:t>Образцы документов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4" w:tooltip="Все формы отчетности" w:history="1">
              <w:r w:rsidRPr="00994A23">
                <w:rPr>
                  <w:rFonts w:ascii="Times New Roman" w:eastAsia="Times New Roman" w:hAnsi="Times New Roman" w:cs="Times New Roman"/>
                  <w:color w:val="283C70"/>
                  <w:sz w:val="18"/>
                  <w:u w:val="single"/>
                  <w:lang w:eastAsia="ru-RU"/>
                </w:rPr>
                <w:t>Все формы отчетности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5" w:tooltip="Законодательство в вопросах и ответах" w:history="1">
              <w:r w:rsidRPr="00994A23">
                <w:rPr>
                  <w:rFonts w:ascii="Times New Roman" w:eastAsia="Times New Roman" w:hAnsi="Times New Roman" w:cs="Times New Roman"/>
                  <w:color w:val="283C70"/>
                  <w:sz w:val="18"/>
                  <w:u w:val="single"/>
                  <w:lang w:eastAsia="ru-RU"/>
                </w:rPr>
                <w:t>Законодательство в вопросах и ответах</w:t>
              </w:r>
            </w:hyperlink>
          </w:p>
        </w:tc>
        <w:tc>
          <w:tcPr>
            <w:tcW w:w="3390" w:type="dxa"/>
            <w:tcMar>
              <w:top w:w="300" w:type="dxa"/>
              <w:left w:w="300" w:type="dxa"/>
              <w:bottom w:w="150" w:type="dxa"/>
              <w:right w:w="300" w:type="dxa"/>
            </w:tcMar>
            <w:hideMark/>
          </w:tcPr>
          <w:p w:rsidR="00994A23" w:rsidRPr="00994A23" w:rsidRDefault="00994A23" w:rsidP="00994A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important_docs_dr" w:tooltip="Важные документы" w:history="1">
              <w:r w:rsidRPr="00994A23">
                <w:rPr>
                  <w:rFonts w:ascii="Times New Roman" w:eastAsia="Times New Roman" w:hAnsi="Times New Roman" w:cs="Times New Roman"/>
                  <w:b/>
                  <w:bCs/>
                  <w:color w:val="283C70"/>
                  <w:sz w:val="24"/>
                  <w:szCs w:val="24"/>
                  <w:u w:val="single"/>
                  <w:lang w:eastAsia="ru-RU"/>
                </w:rPr>
                <w:t>Важные документы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7" w:tooltip="Международное право" w:history="1">
              <w:r w:rsidRPr="00994A23">
                <w:rPr>
                  <w:rFonts w:ascii="Times New Roman" w:eastAsia="Times New Roman" w:hAnsi="Times New Roman" w:cs="Times New Roman"/>
                  <w:color w:val="283C70"/>
                  <w:sz w:val="18"/>
                  <w:u w:val="single"/>
                  <w:lang w:eastAsia="ru-RU"/>
                </w:rPr>
                <w:t>Международное право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8" w:tooltip="Судебная практика" w:history="1">
              <w:r w:rsidRPr="00994A23">
                <w:rPr>
                  <w:rFonts w:ascii="Times New Roman" w:eastAsia="Times New Roman" w:hAnsi="Times New Roman" w:cs="Times New Roman"/>
                  <w:color w:val="283C70"/>
                  <w:sz w:val="18"/>
                  <w:u w:val="single"/>
                  <w:lang w:eastAsia="ru-RU"/>
                </w:rPr>
                <w:t>Судебная практика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9" w:tooltip="Комментарии, статьи, консультации" w:history="1">
              <w:proofErr w:type="gramStart"/>
              <w:r w:rsidRPr="00994A23">
                <w:rPr>
                  <w:rFonts w:ascii="Times New Roman" w:eastAsia="Times New Roman" w:hAnsi="Times New Roman" w:cs="Times New Roman"/>
                  <w:color w:val="283C70"/>
                  <w:sz w:val="18"/>
                  <w:u w:val="single"/>
                  <w:lang w:eastAsia="ru-RU"/>
                </w:rPr>
                <w:t>Комментарии, статьи</w:t>
              </w:r>
              <w:proofErr w:type="gramEnd"/>
              <w:r w:rsidRPr="00994A23">
                <w:rPr>
                  <w:rFonts w:ascii="Times New Roman" w:eastAsia="Times New Roman" w:hAnsi="Times New Roman" w:cs="Times New Roman"/>
                  <w:color w:val="283C70"/>
                  <w:sz w:val="18"/>
                  <w:u w:val="single"/>
                  <w:lang w:eastAsia="ru-RU"/>
                </w:rPr>
                <w:t>, консультации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0" w:tooltip="Справки" w:history="1">
              <w:r w:rsidRPr="00994A23">
                <w:rPr>
                  <w:rFonts w:ascii="Times New Roman" w:eastAsia="Times New Roman" w:hAnsi="Times New Roman" w:cs="Times New Roman"/>
                  <w:color w:val="283C70"/>
                  <w:sz w:val="18"/>
                  <w:u w:val="single"/>
                  <w:lang w:eastAsia="ru-RU"/>
                </w:rPr>
                <w:t>Справки</w:t>
              </w:r>
            </w:hyperlink>
          </w:p>
        </w:tc>
        <w:tc>
          <w:tcPr>
            <w:tcW w:w="3975" w:type="dxa"/>
            <w:tcBorders>
              <w:left w:val="single" w:sz="6" w:space="0" w:color="E0E0E0"/>
            </w:tcBorders>
            <w:hideMark/>
          </w:tcPr>
          <w:p w:rsidR="00994A23" w:rsidRPr="00994A23" w:rsidRDefault="00994A23" w:rsidP="00994A23">
            <w:pPr>
              <w:numPr>
                <w:ilvl w:val="0"/>
                <w:numId w:val="7"/>
              </w:numPr>
              <w:pBdr>
                <w:bottom w:val="single" w:sz="6" w:space="6" w:color="E0E0E0"/>
              </w:pBd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1" w:tooltip="Зарубежные и международные стандарты" w:history="1"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Зарубежные и международные стандарты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7"/>
              </w:numPr>
              <w:pBdr>
                <w:bottom w:val="single" w:sz="6" w:space="6" w:color="E0E0E0"/>
              </w:pBd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2" w:tooltip="Профессиональная справочная система «Реформа технического регулирования»" w:history="1"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Профессиональная справочная система «Реформа технического регулирования»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7"/>
              </w:numPr>
              <w:pBdr>
                <w:bottom w:val="single" w:sz="6" w:space="6" w:color="E0E0E0"/>
              </w:pBd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3" w:tooltip="Профессиональные справочные системы «Техэксперт»" w:history="1"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Профессиональные справочные системы «</w:t>
              </w:r>
              <w:proofErr w:type="spellStart"/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Техэксперт</w:t>
              </w:r>
              <w:proofErr w:type="spellEnd"/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»</w:t>
              </w:r>
            </w:hyperlink>
          </w:p>
          <w:p w:rsidR="00994A23" w:rsidRPr="00994A23" w:rsidRDefault="00994A23" w:rsidP="00994A2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4" w:tooltip="Профессиональные справочные системы «Кодекс»" w:history="1">
              <w:r w:rsidRPr="00994A23">
                <w:rPr>
                  <w:rFonts w:ascii="Times New Roman" w:eastAsia="Times New Roman" w:hAnsi="Times New Roman" w:cs="Times New Roman"/>
                  <w:color w:val="00466E"/>
                  <w:sz w:val="18"/>
                  <w:u w:val="single"/>
                  <w:lang w:eastAsia="ru-RU"/>
                </w:rPr>
                <w:t>Профессиональные справочные системы «Кодекс»</w:t>
              </w:r>
            </w:hyperlink>
          </w:p>
        </w:tc>
      </w:tr>
    </w:tbl>
    <w:p w:rsidR="00994A23" w:rsidRPr="00994A23" w:rsidRDefault="00994A23" w:rsidP="00994A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994A23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© АО «</w:t>
      </w:r>
      <w:hyperlink r:id="rId75" w:history="1">
        <w:r w:rsidRPr="00994A23">
          <w:rPr>
            <w:rFonts w:ascii="Times New Roman" w:eastAsia="Times New Roman" w:hAnsi="Times New Roman" w:cs="Times New Roman"/>
            <w:b/>
            <w:bCs/>
            <w:color w:val="00466E"/>
            <w:sz w:val="24"/>
            <w:szCs w:val="24"/>
            <w:u w:val="single"/>
            <w:lang w:eastAsia="ru-RU"/>
          </w:rPr>
          <w:t>Кодекс</w:t>
        </w:r>
      </w:hyperlink>
      <w:r w:rsidRPr="00994A23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», 2018</w:t>
      </w:r>
    </w:p>
    <w:p w:rsidR="00994A23" w:rsidRPr="00994A23" w:rsidRDefault="00994A23" w:rsidP="00994A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lang w:eastAsia="ru-RU"/>
        </w:rPr>
      </w:pPr>
      <w:r w:rsidRPr="00994A23">
        <w:rPr>
          <w:rFonts w:ascii="Times New Roman" w:eastAsia="Times New Roman" w:hAnsi="Times New Roman" w:cs="Times New Roman"/>
          <w:color w:val="777777"/>
          <w:lang w:eastAsia="ru-RU"/>
        </w:rPr>
        <w:t>Исключительные авторские и смежные права принадлежат АО «Кодекс». </w:t>
      </w:r>
      <w:hyperlink r:id="rId76" w:history="1">
        <w:r w:rsidRPr="00994A23">
          <w:rPr>
            <w:rFonts w:ascii="Times New Roman" w:eastAsia="Times New Roman" w:hAnsi="Times New Roman" w:cs="Times New Roman"/>
            <w:color w:val="00466E"/>
            <w:u w:val="single"/>
            <w:lang w:eastAsia="ru-RU"/>
          </w:rPr>
          <w:t>Положение по обработке и защите персональных данных</w:t>
        </w:r>
      </w:hyperlink>
    </w:p>
    <w:p w:rsidR="00994A23" w:rsidRPr="00994A23" w:rsidRDefault="00994A23" w:rsidP="00994A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lang w:eastAsia="ru-RU"/>
        </w:rPr>
      </w:pPr>
      <w:r w:rsidRPr="00994A23">
        <w:rPr>
          <w:rFonts w:ascii="Times New Roman" w:eastAsia="Times New Roman" w:hAnsi="Times New Roman" w:cs="Times New Roman"/>
          <w:color w:val="777777"/>
          <w:lang w:eastAsia="ru-RU"/>
        </w:rPr>
        <w:t xml:space="preserve">Версия сайта: 2.2.12 </w:t>
      </w:r>
    </w:p>
    <w:p w:rsidR="00994A23" w:rsidRPr="00994A23" w:rsidRDefault="00994A23" w:rsidP="00994A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994A23">
        <w:rPr>
          <w:rFonts w:ascii="Times New Roman" w:eastAsia="Times New Roman" w:hAnsi="Times New Roman" w:cs="Times New Roman"/>
          <w:color w:val="777777"/>
          <w:sz w:val="20"/>
          <w:lang w:eastAsia="ru-RU"/>
        </w:rPr>
        <w:t>Мобильное приложение</w:t>
      </w:r>
      <w:r w:rsidRPr="00994A23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 </w:t>
      </w:r>
    </w:p>
    <w:p w:rsidR="00994A23" w:rsidRPr="00994A23" w:rsidRDefault="00994A23" w:rsidP="00994A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</w:pPr>
      <w:r w:rsidRPr="00994A23">
        <w:rPr>
          <w:rFonts w:ascii="Times New Roman" w:eastAsia="Times New Roman" w:hAnsi="Times New Roman" w:cs="Times New Roman"/>
          <w:color w:val="777777"/>
          <w:sz w:val="20"/>
          <w:szCs w:val="20"/>
          <w:lang w:eastAsia="ru-RU"/>
        </w:rPr>
        <w:t> </w:t>
      </w:r>
    </w:p>
    <w:p w:rsidR="00994A23" w:rsidRPr="00994A23" w:rsidRDefault="00994A23" w:rsidP="00994A23">
      <w:pPr>
        <w:numPr>
          <w:ilvl w:val="0"/>
          <w:numId w:val="8"/>
        </w:numPr>
        <w:shd w:val="clear" w:color="auto" w:fill="F1F1F1"/>
        <w:spacing w:after="0" w:line="240" w:lineRule="auto"/>
        <w:ind w:left="165" w:firstLine="0"/>
        <w:jc w:val="right"/>
        <w:textAlignment w:val="baseline"/>
        <w:rPr>
          <w:rFonts w:ascii="Arial" w:eastAsia="Times New Roman" w:hAnsi="Arial" w:cs="Arial"/>
          <w:color w:val="777777"/>
          <w:spacing w:val="2"/>
          <w:sz w:val="18"/>
          <w:szCs w:val="18"/>
          <w:lang w:eastAsia="ru-RU"/>
        </w:rPr>
      </w:pPr>
    </w:p>
    <w:p w:rsidR="00994A23" w:rsidRPr="00994A23" w:rsidRDefault="00994A23" w:rsidP="00994A23">
      <w:pPr>
        <w:numPr>
          <w:ilvl w:val="0"/>
          <w:numId w:val="8"/>
        </w:numPr>
        <w:shd w:val="clear" w:color="auto" w:fill="F1F1F1"/>
        <w:spacing w:after="0" w:line="240" w:lineRule="auto"/>
        <w:ind w:left="165" w:firstLine="0"/>
        <w:jc w:val="right"/>
        <w:textAlignment w:val="baseline"/>
        <w:rPr>
          <w:rFonts w:ascii="Arial" w:eastAsia="Times New Roman" w:hAnsi="Arial" w:cs="Arial"/>
          <w:color w:val="777777"/>
          <w:spacing w:val="2"/>
          <w:sz w:val="18"/>
          <w:szCs w:val="18"/>
          <w:lang w:eastAsia="ru-RU"/>
        </w:rPr>
      </w:pPr>
    </w:p>
    <w:p w:rsidR="000F6805" w:rsidRDefault="000F6805"/>
    <w:sectPr w:rsidR="000F6805" w:rsidSect="00994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364"/>
    <w:multiLevelType w:val="multilevel"/>
    <w:tmpl w:val="1AC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B5A81"/>
    <w:multiLevelType w:val="multilevel"/>
    <w:tmpl w:val="BB4C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847C0"/>
    <w:multiLevelType w:val="multilevel"/>
    <w:tmpl w:val="A976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A4A92"/>
    <w:multiLevelType w:val="multilevel"/>
    <w:tmpl w:val="0466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C72A2"/>
    <w:multiLevelType w:val="multilevel"/>
    <w:tmpl w:val="ED72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818C0"/>
    <w:multiLevelType w:val="multilevel"/>
    <w:tmpl w:val="7A6C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41BD1"/>
    <w:multiLevelType w:val="multilevel"/>
    <w:tmpl w:val="9B8A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65B73"/>
    <w:multiLevelType w:val="multilevel"/>
    <w:tmpl w:val="36DC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A23"/>
    <w:rsid w:val="000F6805"/>
    <w:rsid w:val="005C3078"/>
    <w:rsid w:val="0099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05"/>
  </w:style>
  <w:style w:type="paragraph" w:styleId="1">
    <w:name w:val="heading 1"/>
    <w:basedOn w:val="a"/>
    <w:link w:val="10"/>
    <w:uiPriority w:val="9"/>
    <w:qFormat/>
    <w:rsid w:val="00994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4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4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4A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94A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94A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A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4A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4A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4A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4A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4A2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994A2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4A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4A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4A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4A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94A23"/>
  </w:style>
  <w:style w:type="character" w:customStyle="1" w:styleId="info-title">
    <w:name w:val="info-title"/>
    <w:basedOn w:val="a0"/>
    <w:rsid w:val="00994A23"/>
  </w:style>
  <w:style w:type="paragraph" w:customStyle="1" w:styleId="headertext">
    <w:name w:val="headertext"/>
    <w:basedOn w:val="a"/>
    <w:rsid w:val="0099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9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9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9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4A23"/>
    <w:rPr>
      <w:b/>
      <w:bCs/>
    </w:rPr>
  </w:style>
  <w:style w:type="paragraph" w:customStyle="1" w:styleId="copyright">
    <w:name w:val="copyright"/>
    <w:basedOn w:val="a"/>
    <w:rsid w:val="0099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9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94A23"/>
  </w:style>
  <w:style w:type="paragraph" w:styleId="a6">
    <w:name w:val="Balloon Text"/>
    <w:basedOn w:val="a"/>
    <w:link w:val="a7"/>
    <w:uiPriority w:val="99"/>
    <w:semiHidden/>
    <w:unhideWhenUsed/>
    <w:rsid w:val="0099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4570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228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551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14890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29014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65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39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9689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85490096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9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4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2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9749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210053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4172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6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41521601" TargetMode="External"/><Relationship Id="rId18" Type="http://schemas.openxmlformats.org/officeDocument/2006/relationships/hyperlink" Target="http://docs.cntd.ru/document/420234837" TargetMode="External"/><Relationship Id="rId26" Type="http://schemas.openxmlformats.org/officeDocument/2006/relationships/image" Target="media/image5.jpeg"/><Relationship Id="rId39" Type="http://schemas.openxmlformats.org/officeDocument/2006/relationships/image" Target="media/image18.jpeg"/><Relationship Id="rId21" Type="http://schemas.openxmlformats.org/officeDocument/2006/relationships/hyperlink" Target="http://docs.cntd.ru/document/901919338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21.jpeg"/><Relationship Id="rId47" Type="http://schemas.openxmlformats.org/officeDocument/2006/relationships/image" Target="media/image26.jpeg"/><Relationship Id="rId50" Type="http://schemas.openxmlformats.org/officeDocument/2006/relationships/image" Target="media/image27.png"/><Relationship Id="rId55" Type="http://schemas.openxmlformats.org/officeDocument/2006/relationships/hyperlink" Target="http://docs.cntd.ru/search/ttkpprktp" TargetMode="External"/><Relationship Id="rId63" Type="http://schemas.openxmlformats.org/officeDocument/2006/relationships/hyperlink" Target="http://docs.cntd.ru/search/docsexamples" TargetMode="External"/><Relationship Id="rId68" Type="http://schemas.openxmlformats.org/officeDocument/2006/relationships/hyperlink" Target="http://sudrf.kodeks.ru/" TargetMode="External"/><Relationship Id="rId76" Type="http://schemas.openxmlformats.org/officeDocument/2006/relationships/hyperlink" Target="http://cdn.kodeks.net/assets/legal/polozhenie_po_obrabotke_i_zashite_personalnyh_dannyh.pdf" TargetMode="External"/><Relationship Id="rId7" Type="http://schemas.openxmlformats.org/officeDocument/2006/relationships/hyperlink" Target="http://docs.cntd.ru/document/441523044" TargetMode="External"/><Relationship Id="rId71" Type="http://schemas.openxmlformats.org/officeDocument/2006/relationships/hyperlink" Target="http://shop.cnt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41521601" TargetMode="External"/><Relationship Id="rId29" Type="http://schemas.openxmlformats.org/officeDocument/2006/relationships/image" Target="media/image8.jpeg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image" Target="media/image3.jpeg"/><Relationship Id="rId32" Type="http://schemas.openxmlformats.org/officeDocument/2006/relationships/image" Target="media/image11.jpeg"/><Relationship Id="rId37" Type="http://schemas.openxmlformats.org/officeDocument/2006/relationships/image" Target="media/image16.jpeg"/><Relationship Id="rId40" Type="http://schemas.openxmlformats.org/officeDocument/2006/relationships/image" Target="media/image19.jpeg"/><Relationship Id="rId45" Type="http://schemas.openxmlformats.org/officeDocument/2006/relationships/image" Target="media/image24.jpeg"/><Relationship Id="rId53" Type="http://schemas.openxmlformats.org/officeDocument/2006/relationships/hyperlink" Target="http://docs.cntd.ru/search/toom" TargetMode="External"/><Relationship Id="rId58" Type="http://schemas.openxmlformats.org/officeDocument/2006/relationships/hyperlink" Target="http://docs.cntd.ru/search/internationalstandards/" TargetMode="External"/><Relationship Id="rId66" Type="http://schemas.openxmlformats.org/officeDocument/2006/relationships/hyperlink" Target="http://docs.cntd.ru/document/441525934" TargetMode="External"/><Relationship Id="rId74" Type="http://schemas.openxmlformats.org/officeDocument/2006/relationships/hyperlink" Target="http://www.kodeks.ru/" TargetMode="External"/><Relationship Id="rId5" Type="http://schemas.openxmlformats.org/officeDocument/2006/relationships/hyperlink" Target="http://docs.cntd.ru/document/441525704" TargetMode="External"/><Relationship Id="rId15" Type="http://schemas.openxmlformats.org/officeDocument/2006/relationships/hyperlink" Target="http://docs.cntd.ru/document/550135730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36" Type="http://schemas.openxmlformats.org/officeDocument/2006/relationships/image" Target="media/image15.jpeg"/><Relationship Id="rId49" Type="http://schemas.openxmlformats.org/officeDocument/2006/relationships/hyperlink" Target="http://www.cntd.ru/" TargetMode="External"/><Relationship Id="rId57" Type="http://schemas.openxmlformats.org/officeDocument/2006/relationships/hyperlink" Target="http://docs.cntd.ru/search/kskteh/" TargetMode="External"/><Relationship Id="rId61" Type="http://schemas.openxmlformats.org/officeDocument/2006/relationships/hyperlink" Target="http://docs.cntd.ru/search/lawrf" TargetMode="External"/><Relationship Id="rId10" Type="http://schemas.openxmlformats.org/officeDocument/2006/relationships/hyperlink" Target="http://docs.cntd.ru/document/550135730" TargetMode="External"/><Relationship Id="rId19" Type="http://schemas.openxmlformats.org/officeDocument/2006/relationships/hyperlink" Target="http://docs.cntd.ru/document/441529788" TargetMode="External"/><Relationship Id="rId31" Type="http://schemas.openxmlformats.org/officeDocument/2006/relationships/image" Target="media/image10.jpeg"/><Relationship Id="rId44" Type="http://schemas.openxmlformats.org/officeDocument/2006/relationships/image" Target="media/image23.jpeg"/><Relationship Id="rId52" Type="http://schemas.openxmlformats.org/officeDocument/2006/relationships/hyperlink" Target="http://docs.cntd.ru/search/tpd" TargetMode="External"/><Relationship Id="rId60" Type="http://schemas.openxmlformats.org/officeDocument/2006/relationships/image" Target="media/image28.png"/><Relationship Id="rId65" Type="http://schemas.openxmlformats.org/officeDocument/2006/relationships/hyperlink" Target="http://docs.cntd.ru/search/lawfaq" TargetMode="External"/><Relationship Id="rId73" Type="http://schemas.openxmlformats.org/officeDocument/2006/relationships/hyperlink" Target="http://www.cntd.ru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1521601" TargetMode="External"/><Relationship Id="rId14" Type="http://schemas.openxmlformats.org/officeDocument/2006/relationships/hyperlink" Target="http://docs.cntd.ru/document/441525704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4.jpeg"/><Relationship Id="rId43" Type="http://schemas.openxmlformats.org/officeDocument/2006/relationships/image" Target="media/image22.jpeg"/><Relationship Id="rId48" Type="http://schemas.openxmlformats.org/officeDocument/2006/relationships/hyperlink" Target="http://docs.cntd.ru/document/441525704" TargetMode="External"/><Relationship Id="rId56" Type="http://schemas.openxmlformats.org/officeDocument/2006/relationships/hyperlink" Target="http://docs.cntd.ru/search/classifications" TargetMode="External"/><Relationship Id="rId64" Type="http://schemas.openxmlformats.org/officeDocument/2006/relationships/hyperlink" Target="http://docs.cntd.ru/search/allforms" TargetMode="External"/><Relationship Id="rId69" Type="http://schemas.openxmlformats.org/officeDocument/2006/relationships/hyperlink" Target="http://docs.cntd.ru/search/kskkod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docs.cntd.ru/document/441522124" TargetMode="External"/><Relationship Id="rId51" Type="http://schemas.openxmlformats.org/officeDocument/2006/relationships/hyperlink" Target="http://docs.cntd.ru/search/tehstandardst" TargetMode="External"/><Relationship Id="rId72" Type="http://schemas.openxmlformats.org/officeDocument/2006/relationships/hyperlink" Target="http://reforma.kodeks.ru/reform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41529788" TargetMode="External"/><Relationship Id="rId17" Type="http://schemas.openxmlformats.org/officeDocument/2006/relationships/hyperlink" Target="http://docs.cntd.ru/document/901876063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12.jpeg"/><Relationship Id="rId38" Type="http://schemas.openxmlformats.org/officeDocument/2006/relationships/image" Target="media/image17.jpeg"/><Relationship Id="rId46" Type="http://schemas.openxmlformats.org/officeDocument/2006/relationships/image" Target="media/image25.jpeg"/><Relationship Id="rId59" Type="http://schemas.openxmlformats.org/officeDocument/2006/relationships/hyperlink" Target="http://www.kodeks.ru/" TargetMode="External"/><Relationship Id="rId67" Type="http://schemas.openxmlformats.org/officeDocument/2006/relationships/hyperlink" Target="http://docs.cntd.ru/search/internationallaw" TargetMode="External"/><Relationship Id="rId20" Type="http://schemas.openxmlformats.org/officeDocument/2006/relationships/hyperlink" Target="http://docs.cntd.ru/document/441528206" TargetMode="External"/><Relationship Id="rId41" Type="http://schemas.openxmlformats.org/officeDocument/2006/relationships/image" Target="media/image20.jpeg"/><Relationship Id="rId54" Type="http://schemas.openxmlformats.org/officeDocument/2006/relationships/hyperlink" Target="http://docs.cntd.ru/document/441525934" TargetMode="External"/><Relationship Id="rId62" Type="http://schemas.openxmlformats.org/officeDocument/2006/relationships/hyperlink" Target="http://docs.cntd.ru/search/region" TargetMode="External"/><Relationship Id="rId70" Type="http://schemas.openxmlformats.org/officeDocument/2006/relationships/hyperlink" Target="http://docs.cntd.ru/search/information" TargetMode="External"/><Relationship Id="rId75" Type="http://schemas.openxmlformats.org/officeDocument/2006/relationships/hyperlink" Target="http://www.kodek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1523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2018-12-01T05:31:00Z</dcterms:created>
  <dcterms:modified xsi:type="dcterms:W3CDTF">2018-12-01T05:31:00Z</dcterms:modified>
</cp:coreProperties>
</file>